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B39" w:rsidRPr="008C1B53" w:rsidRDefault="008C1B53" w:rsidP="008C1B53">
      <w:pPr>
        <w:pStyle w:val="CTtolexpedient"/>
      </w:pPr>
      <w:bookmarkStart w:id="0" w:name="_GoBack"/>
      <w:bookmarkEnd w:id="0"/>
      <w:r w:rsidRPr="008C1B53">
        <w:t xml:space="preserve">Declaració del Parlament de Catalunya de condemna a </w:t>
      </w:r>
      <w:r w:rsidR="00CD580D">
        <w:t>l’</w:t>
      </w:r>
      <w:r w:rsidRPr="008C1B53">
        <w:t>atac de Piera</w:t>
      </w:r>
    </w:p>
    <w:p w:rsidR="00E31B39" w:rsidRDefault="008C1B53" w:rsidP="008C1B53">
      <w:pPr>
        <w:pStyle w:val="CTramnm"/>
      </w:pPr>
      <w:r>
        <w:t>Tram. 401-00031/15</w:t>
      </w:r>
    </w:p>
    <w:p w:rsidR="008C1B53" w:rsidRDefault="008C1B53" w:rsidP="00E31B39">
      <w:pPr>
        <w:pStyle w:val="NNormal"/>
      </w:pPr>
    </w:p>
    <w:p w:rsidR="00E31B39" w:rsidRDefault="00E31B39" w:rsidP="00E31B39">
      <w:pPr>
        <w:pStyle w:val="NNormal"/>
      </w:pPr>
      <w:r>
        <w:t>La matinada del 12 de juliol</w:t>
      </w:r>
      <w:r w:rsidR="00E86717">
        <w:t xml:space="preserve"> passat</w:t>
      </w:r>
      <w:r>
        <w:t xml:space="preserve">, el Centre Islàmic de Piera va </w:t>
      </w:r>
      <w:r w:rsidR="00E86717">
        <w:t>és</w:t>
      </w:r>
      <w:r>
        <w:t xml:space="preserve">ser objecte d’un atac que va provocar un incendi devastador que va destruir completament l’edifici poc abans de la seva inauguració oficial. Aquest acte pretenia posar en perill la convivència i la cohesió social, </w:t>
      </w:r>
      <w:r w:rsidR="005C1EEB">
        <w:t xml:space="preserve">i </w:t>
      </w:r>
      <w:r>
        <w:t xml:space="preserve">trencar l’esperit d’entesa i diàleg que ha definit històricament la societat catalana. </w:t>
      </w:r>
    </w:p>
    <w:p w:rsidR="00971749" w:rsidRDefault="00971749" w:rsidP="00E31B39">
      <w:pPr>
        <w:pStyle w:val="NNormal"/>
      </w:pPr>
    </w:p>
    <w:p w:rsidR="00E31B39" w:rsidRDefault="00E31B39" w:rsidP="00E31B39">
      <w:pPr>
        <w:pStyle w:val="NNormal"/>
      </w:pPr>
      <w:r>
        <w:t xml:space="preserve">Catalunya ha estat històricament un país compromès amb els valors de l’acollida, el respecte i la solidaritat, i ha de continuar essent un referent en aquest sentit. Aquests valors han estat fonamentals per </w:t>
      </w:r>
      <w:r w:rsidR="00855987">
        <w:t xml:space="preserve">a </w:t>
      </w:r>
      <w:r>
        <w:t xml:space="preserve">construir una convivència basada en el respecte a la diversitat i en el rebuig a qualsevol forma de discriminació. </w:t>
      </w:r>
    </w:p>
    <w:p w:rsidR="00971749" w:rsidRDefault="00971749" w:rsidP="00E31B39">
      <w:pPr>
        <w:pStyle w:val="NNormal"/>
      </w:pPr>
    </w:p>
    <w:p w:rsidR="00E31B39" w:rsidRDefault="00E31B39" w:rsidP="00E31B39">
      <w:pPr>
        <w:pStyle w:val="NNormal"/>
      </w:pPr>
      <w:r>
        <w:t xml:space="preserve">En els darrers temps, </w:t>
      </w:r>
      <w:r w:rsidR="009D4227">
        <w:t xml:space="preserve">el Parlament de Catalunya </w:t>
      </w:r>
      <w:r w:rsidRPr="009D4227">
        <w:t>observ</w:t>
      </w:r>
      <w:r w:rsidR="009D4227" w:rsidRPr="00D45575">
        <w:t>a</w:t>
      </w:r>
      <w:r>
        <w:t xml:space="preserve"> amb una preocupació </w:t>
      </w:r>
      <w:r w:rsidR="00A84F03">
        <w:t xml:space="preserve">creixent </w:t>
      </w:r>
      <w:r>
        <w:t xml:space="preserve">la proliferació de discursos d’odi, cada cop més freqüents i agressius, que sovint tenen com a objectiu d’atac la comunitat musulmana i les persones </w:t>
      </w:r>
      <w:r w:rsidRPr="00097F50">
        <w:t>migra</w:t>
      </w:r>
      <w:r w:rsidR="00097F50">
        <w:t>nt</w:t>
      </w:r>
      <w:r w:rsidRPr="00097F50">
        <w:t>s</w:t>
      </w:r>
      <w:r>
        <w:t>. La manca de condemna</w:t>
      </w:r>
      <w:r w:rsidR="009D4227">
        <w:t xml:space="preserve"> i </w:t>
      </w:r>
      <w:r>
        <w:t>reacció i la indiferència col·lectiva davant aquests discursos ha</w:t>
      </w:r>
      <w:r w:rsidR="00EB6AAB">
        <w:t>n</w:t>
      </w:r>
      <w:r>
        <w:t xml:space="preserve"> contribuït a </w:t>
      </w:r>
      <w:r w:rsidR="00EB6AAB">
        <w:t>llur</w:t>
      </w:r>
      <w:r>
        <w:t xml:space="preserve"> normalització, </w:t>
      </w:r>
      <w:r w:rsidR="00FB55AF">
        <w:t xml:space="preserve">i legitimen </w:t>
      </w:r>
      <w:r>
        <w:t xml:space="preserve">actituds, insults i agressions que posen en perill la bona convivència i </w:t>
      </w:r>
      <w:r w:rsidR="00FB55AF">
        <w:t xml:space="preserve">la </w:t>
      </w:r>
      <w:r>
        <w:t>cohesió social a moltes ciutats, pobles i barris.</w:t>
      </w:r>
    </w:p>
    <w:p w:rsidR="00971749" w:rsidRDefault="00971749" w:rsidP="00E31B39">
      <w:pPr>
        <w:pStyle w:val="NNormal"/>
      </w:pPr>
    </w:p>
    <w:p w:rsidR="00E31B39" w:rsidRDefault="00E31B39" w:rsidP="00E31B39">
      <w:pPr>
        <w:pStyle w:val="NNormal"/>
      </w:pPr>
      <w:r>
        <w:t xml:space="preserve">A Catalunya, la població musulmana representa el 6,8% de la ciutadania i compta amb més de 319 centres de culte arreu del territori. Aquests espais no només tenen una funció religiosa, sinó que són també espais de socialització i de participació per </w:t>
      </w:r>
      <w:r w:rsidR="00666A61">
        <w:t xml:space="preserve">a </w:t>
      </w:r>
      <w:r>
        <w:t xml:space="preserve">molts veïns. </w:t>
      </w:r>
      <w:r w:rsidR="00A4781A">
        <w:t>El Parlament de Catalunya n</w:t>
      </w:r>
      <w:r>
        <w:t>o po</w:t>
      </w:r>
      <w:r w:rsidR="00A4781A">
        <w:t>t</w:t>
      </w:r>
      <w:r>
        <w:t xml:space="preserve"> permetre que es converteixin en objecte d’atacs violent</w:t>
      </w:r>
      <w:r w:rsidR="00666A61">
        <w:t>s</w:t>
      </w:r>
      <w:r>
        <w:t xml:space="preserve"> que posin en risc la vida i la seguretat de les persones. </w:t>
      </w:r>
    </w:p>
    <w:p w:rsidR="00E31B39" w:rsidRDefault="00E31B39" w:rsidP="00E31B39">
      <w:pPr>
        <w:pStyle w:val="NNormal"/>
      </w:pPr>
    </w:p>
    <w:p w:rsidR="00E31B39" w:rsidRDefault="00E31B39" w:rsidP="00E31B39">
      <w:pPr>
        <w:pStyle w:val="NNormal"/>
      </w:pPr>
      <w:r>
        <w:t xml:space="preserve">Per </w:t>
      </w:r>
      <w:r w:rsidR="00666A61">
        <w:t>aquest motiu</w:t>
      </w:r>
      <w:r>
        <w:t>, el Parlament de Catalunya</w:t>
      </w:r>
      <w:r w:rsidR="00971749">
        <w:t xml:space="preserve"> </w:t>
      </w:r>
      <w:r w:rsidR="00666A61">
        <w:t>c</w:t>
      </w:r>
      <w:r>
        <w:t xml:space="preserve">ondemna rotundament l’atac contra el Centre Islàmic de Piera del 12 de juliol i </w:t>
      </w:r>
      <w:r w:rsidR="005B200C">
        <w:t>fa arribar</w:t>
      </w:r>
      <w:r w:rsidR="005B200C" w:rsidRPr="005B200C">
        <w:t xml:space="preserve"> </w:t>
      </w:r>
      <w:r w:rsidRPr="00C10548">
        <w:t>t</w:t>
      </w:r>
      <w:r>
        <w:t xml:space="preserve">ota la solidaritat i </w:t>
      </w:r>
      <w:r w:rsidR="00CD0B75">
        <w:t>suport</w:t>
      </w:r>
      <w:r w:rsidR="00CD0B75" w:rsidRPr="005B200C">
        <w:t xml:space="preserve"> </w:t>
      </w:r>
      <w:r>
        <w:t xml:space="preserve">a la comunitat musulmana afectada, </w:t>
      </w:r>
      <w:r w:rsidR="007C4B17">
        <w:t>i també</w:t>
      </w:r>
      <w:r>
        <w:t xml:space="preserve"> a</w:t>
      </w:r>
      <w:r w:rsidR="005C1EEB">
        <w:t xml:space="preserve"> </w:t>
      </w:r>
      <w:r>
        <w:t>l</w:t>
      </w:r>
      <w:r w:rsidR="005C1EEB">
        <w:t>a</w:t>
      </w:r>
      <w:r>
        <w:t xml:space="preserve"> </w:t>
      </w:r>
      <w:r w:rsidRPr="005C1EEB">
        <w:t>pobl</w:t>
      </w:r>
      <w:r w:rsidR="005C1EEB" w:rsidRPr="00D45575">
        <w:t>ació</w:t>
      </w:r>
      <w:r>
        <w:t xml:space="preserve"> de Piera.</w:t>
      </w:r>
    </w:p>
    <w:p w:rsidR="00DC1666" w:rsidRDefault="00DC1666" w:rsidP="00E31B39">
      <w:pPr>
        <w:pStyle w:val="NNormal"/>
      </w:pPr>
    </w:p>
    <w:p w:rsidR="00E31B39" w:rsidRDefault="00B009B1" w:rsidP="00E31B39">
      <w:pPr>
        <w:pStyle w:val="NNormal"/>
      </w:pPr>
      <w:r>
        <w:t>D’altra banda, e</w:t>
      </w:r>
      <w:r w:rsidR="00A4781A">
        <w:t>l Parlament de Catalunya m</w:t>
      </w:r>
      <w:r w:rsidR="00E31B39">
        <w:t xml:space="preserve">anifesta que aquest acte és un fet greu que atempta contra la convivència i la cohesió social, contrari als valors de diversitat, acollida i pluralitat que defineixen </w:t>
      </w:r>
      <w:r w:rsidR="00E77109">
        <w:t>Catalunya</w:t>
      </w:r>
      <w:r w:rsidR="00E31B39">
        <w:t xml:space="preserve">. </w:t>
      </w:r>
      <w:r w:rsidR="006353AC">
        <w:t>El Parlament de Catalunya n</w:t>
      </w:r>
      <w:r w:rsidR="00E31B39">
        <w:t xml:space="preserve">o </w:t>
      </w:r>
      <w:r w:rsidR="005D6035">
        <w:t xml:space="preserve">pot </w:t>
      </w:r>
      <w:r w:rsidR="00E31B39">
        <w:t xml:space="preserve">tolerar cap expressió d’odi, discriminació o violència que busqui imposar la por i la divisió entre la ciutadania. </w:t>
      </w:r>
    </w:p>
    <w:p w:rsidR="00DC1666" w:rsidRDefault="00DC1666" w:rsidP="00E31B39">
      <w:pPr>
        <w:pStyle w:val="NNormal"/>
      </w:pPr>
    </w:p>
    <w:p w:rsidR="00E31B39" w:rsidRDefault="00E31B39" w:rsidP="00E31B39">
      <w:pPr>
        <w:pStyle w:val="NNormal"/>
      </w:pPr>
      <w:r>
        <w:t xml:space="preserve">Catalunya és una societat avançada i democràtica que ha de vetllar per </w:t>
      </w:r>
      <w:r w:rsidR="00900F60">
        <w:t>és</w:t>
      </w:r>
      <w:r>
        <w:t xml:space="preserve">ser un país d’acollida, solidari i que garanteixi la igualtat de drets i oportunitats de tothom que </w:t>
      </w:r>
      <w:r w:rsidR="00285B51">
        <w:t xml:space="preserve">hi </w:t>
      </w:r>
      <w:r>
        <w:t xml:space="preserve">vulgui desenvolupar el seu projecte de vida, </w:t>
      </w:r>
      <w:r w:rsidR="00FC6ED0">
        <w:t xml:space="preserve">i per defensar </w:t>
      </w:r>
      <w:r>
        <w:t xml:space="preserve">la llibertat religiosa i el dret de practicar la </w:t>
      </w:r>
      <w:r w:rsidR="004B195F">
        <w:t xml:space="preserve">pròpia </w:t>
      </w:r>
      <w:r>
        <w:t xml:space="preserve">fe amb respecte, seguretat i dignitat. </w:t>
      </w:r>
    </w:p>
    <w:p w:rsidR="00DC1666" w:rsidRDefault="00DC1666" w:rsidP="00E31B39">
      <w:pPr>
        <w:pStyle w:val="NNormal"/>
      </w:pPr>
    </w:p>
    <w:p w:rsidR="00E31B39" w:rsidRDefault="00B009B1" w:rsidP="00E31B39">
      <w:pPr>
        <w:pStyle w:val="NNormal"/>
      </w:pPr>
      <w:r>
        <w:t>Així mateix, e</w:t>
      </w:r>
      <w:r w:rsidR="00AC4C1F">
        <w:t>l Parlament de Catalunya es compromet</w:t>
      </w:r>
      <w:r w:rsidR="00E31B39">
        <w:t xml:space="preserve"> a continuar impulsant polítiques per </w:t>
      </w:r>
      <w:r w:rsidR="00AC4C1F">
        <w:t xml:space="preserve">a </w:t>
      </w:r>
      <w:r w:rsidR="00E31B39">
        <w:t xml:space="preserve">assolir la igualtat de tracte i </w:t>
      </w:r>
      <w:r w:rsidR="00B2373B">
        <w:t xml:space="preserve">la </w:t>
      </w:r>
      <w:r w:rsidR="00E31B39">
        <w:t xml:space="preserve">no-discriminació, </w:t>
      </w:r>
      <w:r w:rsidR="00284E56">
        <w:t xml:space="preserve">a </w:t>
      </w:r>
      <w:r w:rsidR="00E31B39">
        <w:t>combatre qualsevol tipus de racisme i xenofòbia, a reforçar els programes educatius per a la convivència i a lluitar pel projecte de societat basat en el respecte.</w:t>
      </w:r>
    </w:p>
    <w:p w:rsidR="00DC1666" w:rsidRDefault="00DC1666" w:rsidP="00E31B39">
      <w:pPr>
        <w:pStyle w:val="NNormal"/>
      </w:pPr>
    </w:p>
    <w:p w:rsidR="00E31B39" w:rsidRDefault="00B009B1" w:rsidP="00E31B39">
      <w:pPr>
        <w:pStyle w:val="NNormal"/>
      </w:pPr>
      <w:r>
        <w:lastRenderedPageBreak/>
        <w:t>Finalment, el Parlament de Catalunya m</w:t>
      </w:r>
      <w:r w:rsidR="00E31B39">
        <w:t xml:space="preserve">anifesta el suport a la comunitat afectada i es compromet a col·laborar per </w:t>
      </w:r>
      <w:r>
        <w:t xml:space="preserve">a </w:t>
      </w:r>
      <w:r w:rsidR="00E31B39">
        <w:t>restablir la normalitat i la convivència que sempre ha</w:t>
      </w:r>
      <w:r w:rsidR="00284CD1">
        <w:t>n</w:t>
      </w:r>
      <w:r w:rsidR="00E31B39">
        <w:t xml:space="preserve"> definit aquest </w:t>
      </w:r>
      <w:r w:rsidR="005C1EEB">
        <w:t>municipi</w:t>
      </w:r>
      <w:r w:rsidR="00284CD1">
        <w:t>,</w:t>
      </w:r>
      <w:r w:rsidR="00E31B39">
        <w:t xml:space="preserve"> </w:t>
      </w:r>
      <w:r w:rsidR="00284CD1">
        <w:t>i i</w:t>
      </w:r>
      <w:r w:rsidR="00E31B39">
        <w:t xml:space="preserve">nsta les administracions i </w:t>
      </w:r>
      <w:r w:rsidR="00284CD1">
        <w:t>e</w:t>
      </w:r>
      <w:r w:rsidR="00E31B39">
        <w:t xml:space="preserve">ls cossos de seguretat responsables a actuar amb contundència per </w:t>
      </w:r>
      <w:r w:rsidR="00284CD1">
        <w:t xml:space="preserve">a </w:t>
      </w:r>
      <w:r w:rsidR="00E31B39">
        <w:t>evitar que es repeteixin actes similars.</w:t>
      </w:r>
    </w:p>
    <w:p w:rsidR="00E31B39" w:rsidRDefault="00E31B39" w:rsidP="00E31B39">
      <w:pPr>
        <w:pStyle w:val="NNormal"/>
      </w:pPr>
    </w:p>
    <w:p w:rsidR="00DC1666" w:rsidRDefault="00DC1666" w:rsidP="00E31B39">
      <w:pPr>
        <w:pStyle w:val="NNormal"/>
      </w:pPr>
    </w:p>
    <w:p w:rsidR="00E31B39" w:rsidRDefault="00E31B39" w:rsidP="00E31B39">
      <w:pPr>
        <w:pStyle w:val="NNormal"/>
      </w:pPr>
      <w:r>
        <w:t xml:space="preserve">Palau del Parlament, </w:t>
      </w:r>
      <w:r w:rsidR="00DC1666">
        <w:t>17</w:t>
      </w:r>
      <w:r>
        <w:t xml:space="preserve"> de juliol de 2025</w:t>
      </w:r>
    </w:p>
    <w:p w:rsidR="00971749" w:rsidRDefault="00971749" w:rsidP="00E31B39">
      <w:pPr>
        <w:pStyle w:val="NNormal"/>
      </w:pPr>
    </w:p>
    <w:p w:rsidR="00DC1666" w:rsidRDefault="00DC1666" w:rsidP="00DC1666">
      <w:pPr>
        <w:pStyle w:val="NNormal"/>
      </w:pPr>
    </w:p>
    <w:p w:rsidR="00971749" w:rsidRDefault="00E31B39" w:rsidP="00971749">
      <w:pPr>
        <w:pStyle w:val="NNormal"/>
        <w:tabs>
          <w:tab w:val="right" w:pos="9071"/>
        </w:tabs>
      </w:pPr>
      <w:r>
        <w:t>Elena Díaz Torrevejano</w:t>
      </w:r>
      <w:r>
        <w:tab/>
        <w:t>Mònica Sales de la Cruz</w:t>
      </w:r>
    </w:p>
    <w:p w:rsidR="00E31B39" w:rsidRDefault="00E31B39" w:rsidP="00971749">
      <w:pPr>
        <w:pStyle w:val="NNormal"/>
        <w:tabs>
          <w:tab w:val="right" w:pos="9071"/>
        </w:tabs>
      </w:pPr>
      <w:r>
        <w:t>Portaveu del GP PSC-Units</w:t>
      </w:r>
      <w:r w:rsidR="00971749">
        <w:tab/>
      </w:r>
      <w:r>
        <w:t>Portaveu del GP Junts</w:t>
      </w:r>
    </w:p>
    <w:p w:rsidR="00E31B39" w:rsidRDefault="00E31B39" w:rsidP="00E31B39">
      <w:pPr>
        <w:pStyle w:val="NNormal"/>
      </w:pPr>
    </w:p>
    <w:p w:rsidR="00E31B39" w:rsidRDefault="00E31B39" w:rsidP="00971749">
      <w:pPr>
        <w:pStyle w:val="NNormal"/>
        <w:tabs>
          <w:tab w:val="right" w:pos="9071"/>
        </w:tabs>
      </w:pPr>
      <w:r>
        <w:t>Ester Capella i Farré</w:t>
      </w:r>
      <w:r w:rsidR="00971749">
        <w:tab/>
      </w:r>
      <w:r>
        <w:t>David Cid Colomer</w:t>
      </w:r>
    </w:p>
    <w:p w:rsidR="00E31B39" w:rsidRDefault="00971749" w:rsidP="00971749">
      <w:pPr>
        <w:pStyle w:val="NNormal"/>
        <w:tabs>
          <w:tab w:val="right" w:pos="9071"/>
        </w:tabs>
      </w:pPr>
      <w:r>
        <w:t>Portaveu del GP ERC</w:t>
      </w:r>
      <w:r>
        <w:tab/>
        <w:t>Portaveu del GP Comuns</w:t>
      </w:r>
    </w:p>
    <w:p w:rsidR="00E31B39" w:rsidRDefault="00E31B39" w:rsidP="00E31B39">
      <w:pPr>
        <w:pStyle w:val="NNormal"/>
      </w:pPr>
    </w:p>
    <w:p w:rsidR="00E31B39" w:rsidRDefault="00E31B39" w:rsidP="00E31B39">
      <w:pPr>
        <w:pStyle w:val="NNormal"/>
      </w:pPr>
      <w:r>
        <w:t>Dani Cornellà Detrell</w:t>
      </w:r>
    </w:p>
    <w:p w:rsidR="003B448A" w:rsidRDefault="00E31B39" w:rsidP="00E31B39">
      <w:pPr>
        <w:pStyle w:val="NNormal"/>
      </w:pPr>
      <w:r>
        <w:t>Portaveu del GP CUP-DT</w:t>
      </w:r>
      <w:r>
        <w:tab/>
      </w:r>
    </w:p>
    <w:sectPr w:rsidR="003B448A" w:rsidSect="007D36A7">
      <w:headerReference w:type="default" r:id="rId6"/>
      <w:pgSz w:w="11906" w:h="16838"/>
      <w:pgMar w:top="283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666" w:rsidRDefault="00DC1666" w:rsidP="00DC1666">
      <w:r>
        <w:separator/>
      </w:r>
    </w:p>
  </w:endnote>
  <w:endnote w:type="continuationSeparator" w:id="0">
    <w:p w:rsidR="00DC1666" w:rsidRDefault="00DC1666" w:rsidP="00DC1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666" w:rsidRDefault="00DC1666" w:rsidP="00DC1666">
      <w:r>
        <w:separator/>
      </w:r>
    </w:p>
  </w:footnote>
  <w:footnote w:type="continuationSeparator" w:id="0">
    <w:p w:rsidR="00DC1666" w:rsidRDefault="00DC1666" w:rsidP="00DC1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666" w:rsidRDefault="00DC1666">
    <w:pPr>
      <w:pStyle w:val="Encabezado"/>
    </w:pPr>
    <w:r>
      <w:tab/>
    </w:r>
    <w:r>
      <w:rPr>
        <w:noProof/>
        <w:lang w:eastAsia="ca-ES"/>
      </w:rPr>
      <w:drawing>
        <wp:inline distT="0" distB="0" distL="0" distR="0">
          <wp:extent cx="2438400" cy="591312"/>
          <wp:effectExtent l="0" t="0" r="0" b="0"/>
          <wp:docPr id="3" name="Imat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0" cy="591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C1666" w:rsidRDefault="00DC1666">
    <w:pPr>
      <w:pStyle w:val="Encabezado"/>
    </w:pPr>
  </w:p>
  <w:p w:rsidR="00DC1666" w:rsidRDefault="00DC166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B39"/>
    <w:rsid w:val="00091489"/>
    <w:rsid w:val="00097F50"/>
    <w:rsid w:val="000A0F9C"/>
    <w:rsid w:val="00132A83"/>
    <w:rsid w:val="00166BB0"/>
    <w:rsid w:val="00206327"/>
    <w:rsid w:val="00284CD1"/>
    <w:rsid w:val="00284E56"/>
    <w:rsid w:val="00285B51"/>
    <w:rsid w:val="002B6BC6"/>
    <w:rsid w:val="00377924"/>
    <w:rsid w:val="003B448A"/>
    <w:rsid w:val="004058C4"/>
    <w:rsid w:val="004823DC"/>
    <w:rsid w:val="00492857"/>
    <w:rsid w:val="00497F49"/>
    <w:rsid w:val="004B195F"/>
    <w:rsid w:val="005366A5"/>
    <w:rsid w:val="005406FD"/>
    <w:rsid w:val="0054394D"/>
    <w:rsid w:val="00561337"/>
    <w:rsid w:val="005B200C"/>
    <w:rsid w:val="005C1EEB"/>
    <w:rsid w:val="005D6035"/>
    <w:rsid w:val="005F73A2"/>
    <w:rsid w:val="006003B3"/>
    <w:rsid w:val="00633A3A"/>
    <w:rsid w:val="006353AC"/>
    <w:rsid w:val="00666A61"/>
    <w:rsid w:val="006A6D8A"/>
    <w:rsid w:val="007722AC"/>
    <w:rsid w:val="007825F5"/>
    <w:rsid w:val="007C4B17"/>
    <w:rsid w:val="007D36A7"/>
    <w:rsid w:val="007D5628"/>
    <w:rsid w:val="00827254"/>
    <w:rsid w:val="00846BDE"/>
    <w:rsid w:val="00855987"/>
    <w:rsid w:val="008C1B53"/>
    <w:rsid w:val="00900F60"/>
    <w:rsid w:val="00941480"/>
    <w:rsid w:val="00971749"/>
    <w:rsid w:val="009D4227"/>
    <w:rsid w:val="00A4781A"/>
    <w:rsid w:val="00A55125"/>
    <w:rsid w:val="00A84F03"/>
    <w:rsid w:val="00AB5B47"/>
    <w:rsid w:val="00AC4C1F"/>
    <w:rsid w:val="00B009B1"/>
    <w:rsid w:val="00B2373B"/>
    <w:rsid w:val="00C10548"/>
    <w:rsid w:val="00CD0B75"/>
    <w:rsid w:val="00CD580D"/>
    <w:rsid w:val="00D45575"/>
    <w:rsid w:val="00D920EE"/>
    <w:rsid w:val="00DC1666"/>
    <w:rsid w:val="00DF586E"/>
    <w:rsid w:val="00E13150"/>
    <w:rsid w:val="00E23BBC"/>
    <w:rsid w:val="00E31B39"/>
    <w:rsid w:val="00E77109"/>
    <w:rsid w:val="00E86717"/>
    <w:rsid w:val="00EB4D67"/>
    <w:rsid w:val="00EB6AAB"/>
    <w:rsid w:val="00FB55AF"/>
    <w:rsid w:val="00FC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9A5D3-AB0D-48DF-B24D-3B8FADCB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22"/>
        <w:szCs w:val="22"/>
        <w:lang w:val="ca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666"/>
    <w:rPr>
      <w:rFonts w:eastAsiaTheme="minorEastAsia"/>
      <w:lang w:eastAsia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D920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Normal">
    <w:name w:val="N/ Normal"/>
    <w:basedOn w:val="Normal"/>
    <w:rsid w:val="00DC1666"/>
    <w:rPr>
      <w:rFonts w:eastAsia="Times New Roman" w:cs="Times New Roman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920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Ttolexpedient">
    <w:name w:val="C/ Títol expedient"/>
    <w:basedOn w:val="Normal"/>
    <w:next w:val="Normal"/>
    <w:rsid w:val="00DC1666"/>
    <w:rPr>
      <w:rFonts w:eastAsia="Times New Roman" w:cs="Times New Roman"/>
      <w:b/>
      <w:szCs w:val="20"/>
      <w:lang w:eastAsia="es-ES"/>
    </w:rPr>
  </w:style>
  <w:style w:type="paragraph" w:customStyle="1" w:styleId="CTramnm">
    <w:name w:val="C/ Tram. núm."/>
    <w:basedOn w:val="Normal"/>
    <w:next w:val="Normal"/>
    <w:rsid w:val="00DC1666"/>
    <w:rPr>
      <w:rFonts w:eastAsia="Times New Roman" w:cs="Times New Roman"/>
      <w:szCs w:val="20"/>
      <w:lang w:eastAsia="es-ES"/>
    </w:rPr>
  </w:style>
  <w:style w:type="paragraph" w:customStyle="1" w:styleId="CTrmit">
    <w:name w:val="C/ Tràmit"/>
    <w:basedOn w:val="Normal"/>
    <w:next w:val="Normal"/>
    <w:rsid w:val="00DC1666"/>
    <w:pPr>
      <w:jc w:val="center"/>
    </w:pPr>
    <w:rPr>
      <w:rFonts w:eastAsia="Times New Roman" w:cs="Times New Roman"/>
      <w:szCs w:val="20"/>
      <w:lang w:eastAsia="es-ES"/>
    </w:rPr>
  </w:style>
  <w:style w:type="paragraph" w:customStyle="1" w:styleId="CTrmitdades">
    <w:name w:val="C/ Tràmit dades"/>
    <w:basedOn w:val="Normal"/>
    <w:next w:val="Normal"/>
    <w:rsid w:val="00DC1666"/>
    <w:rPr>
      <w:rFonts w:eastAsia="Times New Roman" w:cs="Times New Roman"/>
      <w:szCs w:val="20"/>
      <w:lang w:eastAsia="es-ES"/>
    </w:rPr>
  </w:style>
  <w:style w:type="paragraph" w:customStyle="1" w:styleId="CTrmitsegon">
    <w:name w:val="C/ Tràmit segon"/>
    <w:basedOn w:val="Normal"/>
    <w:next w:val="Normal"/>
    <w:rsid w:val="00DC1666"/>
    <w:rPr>
      <w:rFonts w:eastAsia="Times New Roman" w:cs="Times New Roman"/>
      <w:szCs w:val="20"/>
      <w:lang w:eastAsia="es-ES"/>
    </w:rPr>
  </w:style>
  <w:style w:type="paragraph" w:styleId="Encabezado">
    <w:name w:val="header"/>
    <w:basedOn w:val="Normal"/>
    <w:link w:val="EncabezadoCar"/>
    <w:rsid w:val="00DC1666"/>
    <w:pPr>
      <w:tabs>
        <w:tab w:val="center" w:pos="4252"/>
        <w:tab w:val="right" w:pos="8504"/>
      </w:tabs>
    </w:pPr>
    <w:rPr>
      <w:rFonts w:eastAsia="Times New Roman" w:cs="Times New Roman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rsid w:val="00DC1666"/>
    <w:rPr>
      <w:rFonts w:eastAsia="Times New Roman" w:cs="Times New Roman"/>
      <w:szCs w:val="20"/>
      <w:lang w:eastAsia="es-ES"/>
    </w:rPr>
  </w:style>
  <w:style w:type="paragraph" w:customStyle="1" w:styleId="E1Esmenanm">
    <w:name w:val="E/ 1 Esmena núm."/>
    <w:basedOn w:val="Normal"/>
    <w:next w:val="Normal"/>
    <w:rsid w:val="00DC1666"/>
    <w:rPr>
      <w:rFonts w:eastAsia="Times New Roman" w:cs="Times New Roman"/>
      <w:smallCaps/>
      <w:szCs w:val="20"/>
      <w:lang w:eastAsia="es-ES"/>
    </w:rPr>
  </w:style>
  <w:style w:type="paragraph" w:customStyle="1" w:styleId="E2Esmenatipus">
    <w:name w:val="E/ 2 Esmena tipus"/>
    <w:basedOn w:val="Normal"/>
    <w:next w:val="Normal"/>
    <w:rsid w:val="00DC1666"/>
    <w:rPr>
      <w:rFonts w:eastAsia="Times New Roman" w:cs="Times New Roman"/>
      <w:i/>
      <w:szCs w:val="20"/>
      <w:lang w:eastAsia="es-ES"/>
    </w:rPr>
  </w:style>
  <w:style w:type="paragraph" w:customStyle="1" w:styleId="E3Esmenagrup">
    <w:name w:val="E/ 3 Esmena grup"/>
    <w:basedOn w:val="Normal"/>
    <w:next w:val="Normal"/>
    <w:rsid w:val="00DC1666"/>
    <w:rPr>
      <w:rFonts w:eastAsia="Times New Roman" w:cs="Times New Roman"/>
      <w:szCs w:val="20"/>
      <w:lang w:eastAsia="es-ES"/>
    </w:rPr>
  </w:style>
  <w:style w:type="paragraph" w:customStyle="1" w:styleId="EPastillaesmena">
    <w:name w:val="E/ Pastilla esmena"/>
    <w:basedOn w:val="Normal"/>
    <w:next w:val="Normal"/>
    <w:rsid w:val="00DC1666"/>
    <w:rPr>
      <w:rFonts w:eastAsia="Times New Roman" w:cs="Times New Roman"/>
      <w:szCs w:val="20"/>
      <w:lang w:eastAsia="es-ES"/>
    </w:rPr>
  </w:style>
  <w:style w:type="paragraph" w:customStyle="1" w:styleId="EPresentaciInformes">
    <w:name w:val="E/ Presentació/Informes"/>
    <w:basedOn w:val="Normal"/>
    <w:next w:val="Normal"/>
    <w:rsid w:val="00DC1666"/>
    <w:rPr>
      <w:rFonts w:eastAsia="Times New Roman" w:cs="Times New Roman"/>
      <w:szCs w:val="20"/>
      <w:u w:val="single"/>
      <w:lang w:eastAsia="es-ES"/>
    </w:rPr>
  </w:style>
  <w:style w:type="paragraph" w:customStyle="1" w:styleId="ETtolsecundari">
    <w:name w:val="E/ Títol secundari"/>
    <w:basedOn w:val="Normal"/>
    <w:next w:val="Normal"/>
    <w:rsid w:val="00DC1666"/>
    <w:rPr>
      <w:rFonts w:eastAsia="Times New Roman" w:cs="Times New Roman"/>
      <w:smallCaps/>
      <w:szCs w:val="20"/>
      <w:lang w:eastAsia="es-ES"/>
    </w:rPr>
  </w:style>
  <w:style w:type="character" w:customStyle="1" w:styleId="ECCursiva">
    <w:name w:val="EC Cursiva"/>
    <w:rsid w:val="00DC1666"/>
    <w:rPr>
      <w:i/>
    </w:rPr>
  </w:style>
  <w:style w:type="character" w:customStyle="1" w:styleId="ECCursivanegreta">
    <w:name w:val="EC Cursiva negreta"/>
    <w:rsid w:val="00DC1666"/>
    <w:rPr>
      <w:b/>
      <w:i/>
    </w:rPr>
  </w:style>
  <w:style w:type="character" w:customStyle="1" w:styleId="ECNegreta">
    <w:name w:val="EC Negreta"/>
    <w:rsid w:val="00DC1666"/>
    <w:rPr>
      <w:b/>
    </w:rPr>
  </w:style>
  <w:style w:type="character" w:customStyle="1" w:styleId="ECNormal">
    <w:name w:val="EC Normal"/>
    <w:basedOn w:val="Fuentedeprrafopredeter"/>
    <w:rsid w:val="00DC1666"/>
  </w:style>
  <w:style w:type="paragraph" w:customStyle="1" w:styleId="FFil">
    <w:name w:val="F/ Fil"/>
    <w:basedOn w:val="Normal"/>
    <w:next w:val="Normal"/>
    <w:rsid w:val="00DC1666"/>
    <w:rPr>
      <w:rFonts w:eastAsia="Times New Roman" w:cs="Times New Roman"/>
      <w:szCs w:val="20"/>
      <w:lang w:eastAsia="es-ES"/>
    </w:rPr>
  </w:style>
  <w:style w:type="paragraph" w:customStyle="1" w:styleId="FFilcolumna">
    <w:name w:val="F/ Fil columna"/>
    <w:basedOn w:val="Normal"/>
    <w:next w:val="Normal"/>
    <w:rsid w:val="00DC1666"/>
    <w:rPr>
      <w:rFonts w:eastAsia="Times New Roman" w:cs="Times New Roman"/>
      <w:szCs w:val="20"/>
      <w:lang w:eastAsia="es-ES"/>
    </w:rPr>
  </w:style>
  <w:style w:type="paragraph" w:customStyle="1" w:styleId="FFilcurt">
    <w:name w:val="F/ Fil curt"/>
    <w:basedOn w:val="Normal"/>
    <w:next w:val="Normal"/>
    <w:rsid w:val="00DC1666"/>
    <w:rPr>
      <w:rFonts w:eastAsia="Times New Roman" w:cs="Times New Roman"/>
      <w:szCs w:val="20"/>
      <w:lang w:eastAsia="es-ES"/>
    </w:rPr>
  </w:style>
  <w:style w:type="paragraph" w:customStyle="1" w:styleId="FFilsecci">
    <w:name w:val="F/ Fil secció"/>
    <w:basedOn w:val="Normal"/>
    <w:next w:val="Normal"/>
    <w:rsid w:val="00DC1666"/>
    <w:rPr>
      <w:rFonts w:eastAsia="Times New Roman" w:cs="Times New Roman"/>
      <w:szCs w:val="20"/>
      <w:lang w:eastAsia="es-ES"/>
    </w:rPr>
  </w:style>
  <w:style w:type="paragraph" w:customStyle="1" w:styleId="FFilet">
    <w:name w:val="F/ Filet"/>
    <w:basedOn w:val="Normal"/>
    <w:next w:val="Normal"/>
    <w:rsid w:val="00DC1666"/>
    <w:rPr>
      <w:rFonts w:eastAsia="Times New Roman" w:cs="Times New Roman"/>
      <w:szCs w:val="20"/>
      <w:lang w:eastAsia="es-ES"/>
    </w:rPr>
  </w:style>
  <w:style w:type="paragraph" w:customStyle="1" w:styleId="NTtolprincipal">
    <w:name w:val="N/ Títol principal"/>
    <w:basedOn w:val="Normal"/>
    <w:next w:val="NNormal"/>
    <w:rsid w:val="00DC1666"/>
    <w:pPr>
      <w:jc w:val="center"/>
    </w:pPr>
    <w:rPr>
      <w:rFonts w:eastAsia="Times New Roman" w:cs="Times New Roman"/>
      <w:szCs w:val="20"/>
      <w:lang w:eastAsia="es-ES"/>
    </w:rPr>
  </w:style>
  <w:style w:type="paragraph" w:customStyle="1" w:styleId="NTtolsecundari">
    <w:name w:val="N/ Títol secundari"/>
    <w:basedOn w:val="Normal"/>
    <w:next w:val="NNormal"/>
    <w:rsid w:val="00DC1666"/>
    <w:rPr>
      <w:rFonts w:eastAsia="Times New Roman" w:cs="Times New Roman"/>
      <w:smallCaps/>
      <w:szCs w:val="20"/>
      <w:lang w:eastAsia="es-ES"/>
    </w:rPr>
  </w:style>
  <w:style w:type="paragraph" w:customStyle="1" w:styleId="NTtolsecundarictrat">
    <w:name w:val="N/ Títol secundari ctrat."/>
    <w:basedOn w:val="Normal"/>
    <w:next w:val="NNormal"/>
    <w:rsid w:val="00DC1666"/>
    <w:pPr>
      <w:jc w:val="center"/>
    </w:pPr>
    <w:rPr>
      <w:rFonts w:eastAsia="Times New Roman" w:cs="Times New Roman"/>
      <w:szCs w:val="20"/>
      <w:lang w:eastAsia="es-ES"/>
    </w:rPr>
  </w:style>
  <w:style w:type="paragraph" w:customStyle="1" w:styleId="NTtolsecundaricva">
    <w:name w:val="N/ Títol secundari cva."/>
    <w:basedOn w:val="Normal"/>
    <w:next w:val="NNormal"/>
    <w:rsid w:val="00DC1666"/>
    <w:rPr>
      <w:rFonts w:eastAsia="Times New Roman" w:cs="Times New Roman"/>
      <w:i/>
      <w:szCs w:val="20"/>
      <w:lang w:eastAsia="es-ES"/>
    </w:rPr>
  </w:style>
  <w:style w:type="paragraph" w:customStyle="1" w:styleId="NTtolsecundaricvactrat">
    <w:name w:val="N/ Títol secundari cva. ctrat."/>
    <w:basedOn w:val="Normal"/>
    <w:next w:val="NNormal"/>
    <w:rsid w:val="00DC1666"/>
    <w:pPr>
      <w:jc w:val="center"/>
    </w:pPr>
    <w:rPr>
      <w:rFonts w:eastAsia="Times New Roman" w:cs="Times New Roman"/>
      <w:i/>
      <w:szCs w:val="20"/>
      <w:lang w:eastAsia="es-ES"/>
    </w:rPr>
  </w:style>
  <w:style w:type="paragraph" w:customStyle="1" w:styleId="NTtolsecundarinegr">
    <w:name w:val="N/ Títol secundari negr."/>
    <w:basedOn w:val="Normal"/>
    <w:next w:val="NNormal"/>
    <w:rsid w:val="00DC1666"/>
    <w:rPr>
      <w:rFonts w:eastAsia="Times New Roman" w:cs="Times New Roman"/>
      <w:b/>
      <w:szCs w:val="20"/>
      <w:lang w:eastAsia="es-ES"/>
    </w:rPr>
  </w:style>
  <w:style w:type="paragraph" w:customStyle="1" w:styleId="NTtolsecundarinegrctrat">
    <w:name w:val="N/ Títol secundari negr. ctrat."/>
    <w:basedOn w:val="Normal"/>
    <w:next w:val="NNormal"/>
    <w:rsid w:val="00DC1666"/>
    <w:pPr>
      <w:jc w:val="center"/>
    </w:pPr>
    <w:rPr>
      <w:rFonts w:eastAsia="Times New Roman" w:cs="Times New Roman"/>
      <w:b/>
      <w:szCs w:val="20"/>
      <w:lang w:eastAsia="es-ES"/>
    </w:rPr>
  </w:style>
  <w:style w:type="paragraph" w:customStyle="1" w:styleId="NTtolsecundarinegrcva">
    <w:name w:val="N/ Títol secundari negr. cva."/>
    <w:basedOn w:val="Normal"/>
    <w:next w:val="NNormal"/>
    <w:rsid w:val="00DC1666"/>
    <w:rPr>
      <w:rFonts w:eastAsia="Times New Roman" w:cs="Times New Roman"/>
      <w:b/>
      <w:i/>
      <w:szCs w:val="20"/>
      <w:lang w:eastAsia="es-ES"/>
    </w:rPr>
  </w:style>
  <w:style w:type="paragraph" w:customStyle="1" w:styleId="NTtolsecundarinegrcvactrat">
    <w:name w:val="N/ Títol secundari negr. cva. ctrat."/>
    <w:basedOn w:val="Normal"/>
    <w:next w:val="NNormal"/>
    <w:rsid w:val="00DC1666"/>
    <w:pPr>
      <w:jc w:val="center"/>
    </w:pPr>
    <w:rPr>
      <w:rFonts w:eastAsia="Times New Roman" w:cs="Times New Roman"/>
      <w:b/>
      <w:i/>
      <w:szCs w:val="20"/>
      <w:lang w:eastAsia="es-ES"/>
    </w:rPr>
  </w:style>
  <w:style w:type="paragraph" w:customStyle="1" w:styleId="NTtolsecundarisubr">
    <w:name w:val="N/ Títol secundari subr."/>
    <w:basedOn w:val="Normal"/>
    <w:next w:val="NNormal"/>
    <w:rsid w:val="00DC1666"/>
    <w:rPr>
      <w:rFonts w:eastAsia="Times New Roman" w:cs="Times New Roman"/>
      <w:i/>
      <w:szCs w:val="20"/>
      <w:u w:val="single"/>
      <w:lang w:eastAsia="es-ES"/>
    </w:rPr>
  </w:style>
  <w:style w:type="paragraph" w:customStyle="1" w:styleId="NTtolsecundarisubrctrat">
    <w:name w:val="N/ Títol secundari subr. ctrat."/>
    <w:basedOn w:val="Normal"/>
    <w:next w:val="NNormal"/>
    <w:rsid w:val="00DC1666"/>
    <w:pPr>
      <w:jc w:val="center"/>
    </w:pPr>
    <w:rPr>
      <w:rFonts w:eastAsia="Times New Roman" w:cs="Times New Roman"/>
      <w:szCs w:val="20"/>
      <w:u w:val="single"/>
      <w:lang w:eastAsia="es-ES"/>
    </w:rPr>
  </w:style>
  <w:style w:type="character" w:styleId="Nmerodepgina">
    <w:name w:val="page number"/>
    <w:basedOn w:val="Fuentedeprrafopredeter"/>
    <w:rsid w:val="00DC1666"/>
  </w:style>
  <w:style w:type="paragraph" w:customStyle="1" w:styleId="PData">
    <w:name w:val="P/ Data"/>
    <w:basedOn w:val="Normal"/>
    <w:next w:val="NNormal"/>
    <w:rsid w:val="00DC1666"/>
    <w:rPr>
      <w:rFonts w:eastAsia="Times New Roman" w:cs="Times New Roman"/>
      <w:szCs w:val="20"/>
      <w:lang w:eastAsia="es-ES"/>
    </w:rPr>
  </w:style>
  <w:style w:type="paragraph" w:customStyle="1" w:styleId="PSignatura">
    <w:name w:val="P/ Signatura"/>
    <w:basedOn w:val="Normal"/>
    <w:next w:val="NNormal"/>
    <w:rsid w:val="00DC1666"/>
    <w:pPr>
      <w:tabs>
        <w:tab w:val="right" w:pos="8222"/>
      </w:tabs>
    </w:pPr>
    <w:rPr>
      <w:rFonts w:eastAsia="Times New Roman" w:cs="Times New Roman"/>
      <w:szCs w:val="20"/>
      <w:lang w:eastAsia="es-ES"/>
    </w:rPr>
  </w:style>
  <w:style w:type="paragraph" w:customStyle="1" w:styleId="PSignaturadiversos">
    <w:name w:val="P/ Signatura diversos"/>
    <w:basedOn w:val="Normal"/>
    <w:next w:val="NNormal"/>
    <w:rsid w:val="00DC1666"/>
    <w:rPr>
      <w:rFonts w:eastAsia="Times New Roman" w:cs="Times New Roman"/>
      <w:szCs w:val="20"/>
      <w:lang w:eastAsia="es-ES"/>
    </w:rPr>
  </w:style>
  <w:style w:type="paragraph" w:styleId="Piedepgina">
    <w:name w:val="footer"/>
    <w:basedOn w:val="Normal"/>
    <w:link w:val="PiedepginaCar"/>
    <w:rsid w:val="00DC1666"/>
    <w:pPr>
      <w:tabs>
        <w:tab w:val="center" w:pos="4252"/>
        <w:tab w:val="right" w:pos="8504"/>
      </w:tabs>
    </w:pPr>
    <w:rPr>
      <w:rFonts w:eastAsia="Times New Roman" w:cs="Times New Roman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DC1666"/>
    <w:rPr>
      <w:rFonts w:eastAsia="Times New Roman" w:cs="Times New Roman"/>
      <w:szCs w:val="20"/>
      <w:lang w:eastAsia="es-ES"/>
    </w:rPr>
  </w:style>
  <w:style w:type="paragraph" w:customStyle="1" w:styleId="Sagnat">
    <w:name w:val="Sagnat"/>
    <w:basedOn w:val="Normal"/>
    <w:next w:val="Normal"/>
    <w:rsid w:val="00DC1666"/>
    <w:pPr>
      <w:ind w:left="851" w:hanging="851"/>
    </w:pPr>
    <w:rPr>
      <w:rFonts w:eastAsia="Times New Roman" w:cs="Times New Roman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3033</Characters>
  <Application>Microsoft Office Word</Application>
  <DocSecurity>4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Monistrol López, Jordi</dc:creator>
  <cp:keywords/>
  <dc:description/>
  <cp:lastModifiedBy>Solé Figueras, Helena</cp:lastModifiedBy>
  <cp:revision>2</cp:revision>
  <cp:lastPrinted>2025-07-17T10:05:00Z</cp:lastPrinted>
  <dcterms:created xsi:type="dcterms:W3CDTF">2025-07-17T10:23:00Z</dcterms:created>
  <dcterms:modified xsi:type="dcterms:W3CDTF">2025-07-17T10:23:00Z</dcterms:modified>
</cp:coreProperties>
</file>